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D498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067DCE7F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23679A9B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58A2F630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ECB6D05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D2253FF" w14:textId="77777777" w:rsidR="00716A68" w:rsidRPr="00A7339D" w:rsidRDefault="00716A68" w:rsidP="00716A68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08FD4F28" w14:textId="77777777" w:rsidR="00716A68" w:rsidRPr="00A7339D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06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мая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4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2</w:t>
      </w:r>
    </w:p>
    <w:p w14:paraId="78D26C1F" w14:textId="77777777" w:rsidR="00716A68" w:rsidRPr="00A7339D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B8AE31D" w14:textId="77777777" w:rsidR="00716A68" w:rsidRPr="00A7339D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5A37A121" w14:textId="77777777" w:rsidR="00716A68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232D67C6" w14:textId="77777777" w:rsidR="00716A68" w:rsidRPr="00A7339D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1FF2E947" w14:textId="77777777" w:rsidR="00716A68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44EC142C" w14:textId="77777777" w:rsidR="00716A68" w:rsidRPr="003435A7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0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0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2FCEAB7C" w14:textId="77777777" w:rsidR="00716A68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549"/>
      <w:r w:rsidRPr="005D5C6F">
        <w:rPr>
          <w:rFonts w:eastAsia="SimSun" w:cs="Mangal"/>
          <w:kern w:val="3"/>
          <w:sz w:val="28"/>
          <w:szCs w:val="28"/>
          <w:lang w:bidi="hi-IN"/>
        </w:rPr>
        <w:t>Долгополов Кирилл Александрович, заведующий кафедрой уголовного права и процесса Северо-Кавказского федерального университета;</w:t>
      </w:r>
    </w:p>
    <w:p w14:paraId="2695832C" w14:textId="77777777" w:rsidR="00716A68" w:rsidRPr="003435A7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50D601A1" w14:textId="77777777" w:rsidR="00716A68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3D0964BD" w14:textId="77777777" w:rsidR="00716A68" w:rsidRPr="005D5C6F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E407D8">
        <w:rPr>
          <w:rFonts w:eastAsia="SimSun" w:cs="Mangal"/>
          <w:kern w:val="3"/>
          <w:sz w:val="28"/>
          <w:szCs w:val="28"/>
          <w:lang w:bidi="hi-IN"/>
        </w:rPr>
        <w:t>Санакоев Александр Сергеевич, помощник депутата Государственной Думы Российской Федерации, руководитель Ставропольского краевого отделения мотоциклистов «Ночные волки»;</w:t>
      </w:r>
    </w:p>
    <w:p w14:paraId="2C6A8C0A" w14:textId="77777777" w:rsidR="00716A68" w:rsidRPr="003435A7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0E8B2C42" w14:textId="77777777" w:rsidR="00716A68" w:rsidRPr="003435A7" w:rsidRDefault="00716A68" w:rsidP="00716A68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1"/>
    <w:p w14:paraId="0C2DA48A" w14:textId="77777777" w:rsidR="00716A68" w:rsidRPr="00B00D09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E0DFD53" w14:textId="77777777" w:rsidR="00716A68" w:rsidRDefault="00716A68" w:rsidP="00716A68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09BC4607" w14:textId="77777777" w:rsidR="00716A68" w:rsidRDefault="00716A68" w:rsidP="00716A68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16D72B19" w14:textId="77777777" w:rsidR="00716A68" w:rsidRPr="00234DDE" w:rsidRDefault="00716A68" w:rsidP="00716A68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Подготовка и проведение мероприятий, посвященных празднованию 79-ой годовщине Победы в Великой Отечественной войне.</w:t>
      </w:r>
    </w:p>
    <w:p w14:paraId="579D2C88" w14:textId="77777777" w:rsidR="00716A68" w:rsidRPr="00FF0A6B" w:rsidRDefault="00716A68" w:rsidP="00716A68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Подготовка к капитальному ремонту центральной аллеи геронтологического центра.</w:t>
      </w:r>
    </w:p>
    <w:p w14:paraId="43C23E10" w14:textId="77777777" w:rsidR="00716A68" w:rsidRPr="00A7339D" w:rsidRDefault="00716A68" w:rsidP="00716A68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0DD3D1CB" w14:textId="77777777" w:rsidR="00716A68" w:rsidRPr="00B437A2" w:rsidRDefault="00716A68" w:rsidP="00716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B437A2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мероприятий, запланированных к проведению 9 мая</w:t>
      </w:r>
      <w:r w:rsidRPr="00B437A2">
        <w:rPr>
          <w:rFonts w:ascii="Times New Roman" w:hAnsi="Times New Roman" w:cs="Times New Roman"/>
          <w:sz w:val="28"/>
          <w:szCs w:val="28"/>
        </w:rPr>
        <w:t>.</w:t>
      </w:r>
    </w:p>
    <w:p w14:paraId="12241464" w14:textId="77777777" w:rsidR="00716A68" w:rsidRPr="00BB680F" w:rsidRDefault="00716A68" w:rsidP="00716A68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2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r>
        <w:rPr>
          <w:rFonts w:eastAsia="SimSun" w:cs="Mangal"/>
          <w:kern w:val="3"/>
          <w:sz w:val="28"/>
          <w:szCs w:val="28"/>
          <w:lang w:bidi="hi-IN"/>
        </w:rPr>
        <w:t>заместитель директора Калядина Е.А.</w:t>
      </w:r>
    </w:p>
    <w:bookmarkEnd w:id="2"/>
    <w:p w14:paraId="0D2F0A49" w14:textId="77777777" w:rsidR="00716A68" w:rsidRDefault="00716A68" w:rsidP="00716A68">
      <w:pPr>
        <w:spacing w:line="276" w:lineRule="auto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утвердить план мероприятий ко Дню Победы.</w:t>
      </w:r>
    </w:p>
    <w:p w14:paraId="60AA50B5" w14:textId="77777777" w:rsidR="00716A68" w:rsidRDefault="00716A68" w:rsidP="00716A68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00E726D2" w14:textId="77777777" w:rsidR="00716A68" w:rsidRDefault="00716A68" w:rsidP="00716A68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t>СЛУШАЛИ:</w:t>
      </w:r>
      <w:r>
        <w:rPr>
          <w:sz w:val="28"/>
          <w:szCs w:val="20"/>
          <w:lang w:eastAsia="ar-SA"/>
        </w:rPr>
        <w:t xml:space="preserve"> о предстоящем благоустройстве территории центра и подготовке к капитальному ремонту центральной аллеи геронтологического центра.</w:t>
      </w:r>
    </w:p>
    <w:p w14:paraId="4CE557A7" w14:textId="77777777" w:rsidR="00716A68" w:rsidRDefault="00716A68" w:rsidP="00716A68">
      <w:pPr>
        <w:spacing w:line="276" w:lineRule="auto"/>
        <w:ind w:left="720"/>
        <w:jc w:val="both"/>
        <w:rPr>
          <w:sz w:val="28"/>
          <w:szCs w:val="20"/>
          <w:lang w:eastAsia="ar-SA"/>
        </w:rPr>
      </w:pPr>
    </w:p>
    <w:p w14:paraId="3EC8EB74" w14:textId="77777777" w:rsidR="00716A68" w:rsidRPr="00BB680F" w:rsidRDefault="00716A68" w:rsidP="00716A68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lastRenderedPageBreak/>
        <w:t xml:space="preserve">Докладчик: </w:t>
      </w:r>
      <w:r>
        <w:rPr>
          <w:sz w:val="28"/>
          <w:szCs w:val="20"/>
          <w:lang w:eastAsia="ar-SA"/>
        </w:rPr>
        <w:t xml:space="preserve">заместитель директора </w:t>
      </w:r>
      <w:proofErr w:type="spellStart"/>
      <w:r>
        <w:rPr>
          <w:sz w:val="28"/>
          <w:szCs w:val="20"/>
          <w:lang w:eastAsia="ar-SA"/>
        </w:rPr>
        <w:t>Шавернев</w:t>
      </w:r>
      <w:proofErr w:type="spellEnd"/>
      <w:r>
        <w:rPr>
          <w:sz w:val="28"/>
          <w:szCs w:val="20"/>
          <w:lang w:eastAsia="ar-SA"/>
        </w:rPr>
        <w:t xml:space="preserve"> А.А.</w:t>
      </w:r>
    </w:p>
    <w:p w14:paraId="3CFD9E94" w14:textId="77777777" w:rsidR="00716A68" w:rsidRDefault="00716A68" w:rsidP="00716A68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>РЕШИЛИ:</w:t>
      </w:r>
      <w:r>
        <w:rPr>
          <w:sz w:val="28"/>
          <w:szCs w:val="20"/>
          <w:lang w:eastAsia="ar-SA"/>
        </w:rPr>
        <w:t xml:space="preserve"> принять информацию к сведению.</w:t>
      </w:r>
    </w:p>
    <w:p w14:paraId="68B9661C" w14:textId="77777777" w:rsidR="00716A68" w:rsidRDefault="00716A68" w:rsidP="00716A68">
      <w:pPr>
        <w:spacing w:line="276" w:lineRule="auto"/>
        <w:jc w:val="both"/>
        <w:rPr>
          <w:sz w:val="28"/>
          <w:szCs w:val="20"/>
          <w:lang w:eastAsia="ar-SA"/>
        </w:rPr>
      </w:pPr>
    </w:p>
    <w:p w14:paraId="2B8F31EA" w14:textId="77777777" w:rsidR="00716A68" w:rsidRPr="00A7339D" w:rsidRDefault="00716A68" w:rsidP="00716A68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80"/>
        <w:gridCol w:w="239"/>
        <w:gridCol w:w="236"/>
      </w:tblGrid>
      <w:tr w:rsidR="00716A68" w:rsidRPr="00A7339D" w14:paraId="54CA01E4" w14:textId="77777777" w:rsidTr="00655966">
        <w:tc>
          <w:tcPr>
            <w:tcW w:w="3696" w:type="dxa"/>
          </w:tcPr>
          <w:tbl>
            <w:tblPr>
              <w:tblStyle w:val="a4"/>
              <w:tblW w:w="86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6"/>
              <w:gridCol w:w="3082"/>
              <w:gridCol w:w="2256"/>
            </w:tblGrid>
            <w:tr w:rsidR="005B79FD" w14:paraId="62FBE489" w14:textId="77777777" w:rsidTr="005A4739">
              <w:trPr>
                <w:trHeight w:val="589"/>
              </w:trPr>
              <w:tc>
                <w:tcPr>
                  <w:tcW w:w="3326" w:type="dxa"/>
                </w:tcPr>
                <w:p w14:paraId="31DCACA6" w14:textId="40C416EA" w:rsidR="005B79FD" w:rsidRDefault="005B79FD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A7339D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Ведущий собрания                                                                                  </w:t>
                  </w:r>
                </w:p>
              </w:tc>
              <w:tc>
                <w:tcPr>
                  <w:tcW w:w="3082" w:type="dxa"/>
                </w:tcPr>
                <w:p w14:paraId="79D82761" w14:textId="7DF7648C" w:rsidR="005B79FD" w:rsidRDefault="00685DC3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noProof/>
                      <w:kern w:val="1"/>
                      <w:sz w:val="28"/>
                      <w:szCs w:val="28"/>
                      <w:lang w:eastAsia="hi-IN" w:bidi="hi-IN"/>
                      <w14:ligatures w14:val="standardContextual"/>
                    </w:rPr>
                    <w:drawing>
                      <wp:anchor distT="0" distB="0" distL="0" distR="0" simplePos="0" relativeHeight="251658240" behindDoc="0" locked="0" layoutInCell="1" allowOverlap="1" wp14:anchorId="562F29E8" wp14:editId="793AA224">
                        <wp:simplePos x="0" y="0"/>
                        <wp:positionH relativeFrom="column">
                          <wp:posOffset>33020</wp:posOffset>
                        </wp:positionH>
                        <wp:positionV relativeFrom="paragraph">
                          <wp:posOffset>52070</wp:posOffset>
                        </wp:positionV>
                        <wp:extent cx="1471295" cy="237490"/>
                        <wp:effectExtent l="0" t="0" r="0" b="0"/>
                        <wp:wrapTopAndBottom/>
                        <wp:docPr id="92557928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8" t="-113" r="-18" b="-1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295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56" w:type="dxa"/>
                </w:tcPr>
                <w:p w14:paraId="746BB496" w14:textId="6204402B" w:rsidR="005B79FD" w:rsidRDefault="005B79FD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A7339D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К.Э. </w:t>
                  </w:r>
                  <w:proofErr w:type="spellStart"/>
                  <w:r w:rsidRPr="00A7339D"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>Больбат</w:t>
                  </w:r>
                  <w:proofErr w:type="spellEnd"/>
                </w:p>
              </w:tc>
            </w:tr>
            <w:tr w:rsidR="005B79FD" w14:paraId="2E1CAB01" w14:textId="77777777" w:rsidTr="005A4739">
              <w:trPr>
                <w:trHeight w:val="784"/>
              </w:trPr>
              <w:tc>
                <w:tcPr>
                  <w:tcW w:w="3326" w:type="dxa"/>
                </w:tcPr>
                <w:p w14:paraId="747B5A52" w14:textId="07B37D7C" w:rsidR="005B79FD" w:rsidRDefault="005B79FD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Секретарь  </w:t>
                  </w:r>
                </w:p>
              </w:tc>
              <w:tc>
                <w:tcPr>
                  <w:tcW w:w="3082" w:type="dxa"/>
                </w:tcPr>
                <w:p w14:paraId="3B44F3FA" w14:textId="39C1EC63" w:rsidR="005B79FD" w:rsidRDefault="005A4739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noProof/>
                      <w:kern w:val="1"/>
                      <w:sz w:val="28"/>
                      <w:szCs w:val="28"/>
                      <w:lang w:eastAsia="hi-IN" w:bidi="hi-IN"/>
                    </w:rPr>
                    <w:drawing>
                      <wp:inline distT="0" distB="0" distL="0" distR="0" wp14:anchorId="361EF30D" wp14:editId="34158CA9">
                        <wp:extent cx="1002665" cy="426720"/>
                        <wp:effectExtent l="0" t="0" r="6985" b="0"/>
                        <wp:docPr id="201102178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665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6" w:type="dxa"/>
                </w:tcPr>
                <w:p w14:paraId="5F507EC8" w14:textId="747E49A9" w:rsidR="005B79FD" w:rsidRDefault="005B79FD" w:rsidP="00685DC3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eastAsia="SimSu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Е.А. Калядина                       </w:t>
                  </w:r>
                </w:p>
              </w:tc>
            </w:tr>
          </w:tbl>
          <w:p w14:paraId="2F7AAD82" w14:textId="77777777" w:rsidR="00716A68" w:rsidRPr="00A7339D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05F235B" w14:textId="2749440B" w:rsidR="00716A68" w:rsidRPr="00A7339D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6" w:type="dxa"/>
          </w:tcPr>
          <w:p w14:paraId="2CDC0658" w14:textId="77777777" w:rsidR="00716A68" w:rsidRPr="00A7339D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0FEC1EDC" w14:textId="77777777" w:rsidR="00716A68" w:rsidRPr="00D05F38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9" w:type="dxa"/>
          </w:tcPr>
          <w:p w14:paraId="70689CEF" w14:textId="77777777" w:rsidR="00716A68" w:rsidRPr="00A7339D" w:rsidRDefault="00716A68" w:rsidP="00655966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ABCB720" w14:textId="77777777" w:rsidR="00716A68" w:rsidRPr="00A7339D" w:rsidRDefault="00716A68" w:rsidP="005B79FD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64B77BAA" w14:textId="77777777" w:rsidR="00716A68" w:rsidRPr="00A7339D" w:rsidRDefault="00716A68" w:rsidP="00716A68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16A68" w14:paraId="313AC56C" w14:textId="77777777" w:rsidTr="00655966">
        <w:trPr>
          <w:trHeight w:val="815"/>
        </w:trPr>
        <w:tc>
          <w:tcPr>
            <w:tcW w:w="3190" w:type="dxa"/>
            <w:shd w:val="clear" w:color="auto" w:fill="auto"/>
          </w:tcPr>
          <w:p w14:paraId="6E1021EA" w14:textId="779AC639" w:rsidR="00716A68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</w:t>
            </w:r>
          </w:p>
        </w:tc>
        <w:tc>
          <w:tcPr>
            <w:tcW w:w="3190" w:type="dxa"/>
            <w:shd w:val="clear" w:color="auto" w:fill="auto"/>
          </w:tcPr>
          <w:p w14:paraId="7BF20331" w14:textId="77777777" w:rsidR="00716A68" w:rsidRDefault="00716A68" w:rsidP="00655966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  <w:shd w:val="clear" w:color="auto" w:fill="auto"/>
          </w:tcPr>
          <w:p w14:paraId="0E71724E" w14:textId="5D3FD293" w:rsidR="00716A68" w:rsidRDefault="00716A68" w:rsidP="00655966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</w:t>
            </w:r>
          </w:p>
        </w:tc>
      </w:tr>
    </w:tbl>
    <w:p w14:paraId="1D43C623" w14:textId="77777777" w:rsidR="007B3FAE" w:rsidRDefault="007B3FAE"/>
    <w:sectPr w:rsidR="007B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30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3"/>
    <w:rsid w:val="00145853"/>
    <w:rsid w:val="00183596"/>
    <w:rsid w:val="00266138"/>
    <w:rsid w:val="003A6169"/>
    <w:rsid w:val="005A4739"/>
    <w:rsid w:val="005B79FD"/>
    <w:rsid w:val="00685DC3"/>
    <w:rsid w:val="00716A68"/>
    <w:rsid w:val="007B3FAE"/>
    <w:rsid w:val="00826C3D"/>
    <w:rsid w:val="00942050"/>
    <w:rsid w:val="009E5E23"/>
    <w:rsid w:val="00B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CA7C"/>
  <w15:chartTrackingRefBased/>
  <w15:docId w15:val="{9F78369F-0144-4B16-A9DB-D0EBCEB3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A68"/>
    <w:pPr>
      <w:suppressAutoHyphens/>
      <w:spacing w:after="0" w:line="240" w:lineRule="auto"/>
    </w:pPr>
    <w:rPr>
      <w:rFonts w:ascii="Calibri" w:eastAsia="Calibri" w:hAnsi="Calibri" w:cs="Liberation Serif"/>
      <w:kern w:val="0"/>
      <w:lang w:eastAsia="zh-CN" w:bidi="hi-IN"/>
      <w14:ligatures w14:val="none"/>
    </w:rPr>
  </w:style>
  <w:style w:type="table" w:styleId="a4">
    <w:name w:val="Table Grid"/>
    <w:basedOn w:val="a1"/>
    <w:uiPriority w:val="39"/>
    <w:rsid w:val="005B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cp:lastPrinted>2024-07-05T12:42:00Z</cp:lastPrinted>
  <dcterms:created xsi:type="dcterms:W3CDTF">2024-07-05T12:41:00Z</dcterms:created>
  <dcterms:modified xsi:type="dcterms:W3CDTF">2024-08-02T11:09:00Z</dcterms:modified>
</cp:coreProperties>
</file>